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82" w:rsidRPr="001F3D5A" w:rsidRDefault="00241B82" w:rsidP="001F3D5A">
      <w:pPr>
        <w:spacing w:after="240"/>
        <w:jc w:val="both"/>
        <w:rPr>
          <w:rFonts w:ascii="Arial" w:hAnsi="Arial" w:cs="Arial"/>
          <w:b/>
          <w:bCs/>
          <w:color w:val="388CB3"/>
          <w:sz w:val="24"/>
          <w:szCs w:val="24"/>
          <w:u w:val="single"/>
          <w:lang w:eastAsia="es-ES"/>
        </w:rPr>
      </w:pPr>
      <w:smartTag w:uri="urn:schemas-microsoft-com:office:smarttags" w:element="PersonName">
        <w:smartTagPr>
          <w:attr w:name="ProductID" w:val="la OEPM"/>
        </w:smartTagPr>
        <w:r w:rsidRPr="001F3D5A">
          <w:rPr>
            <w:rFonts w:ascii="Arial" w:hAnsi="Arial" w:cs="Arial"/>
            <w:b/>
            <w:bCs/>
            <w:color w:val="388CB3"/>
            <w:sz w:val="24"/>
            <w:szCs w:val="24"/>
            <w:u w:val="single"/>
            <w:lang w:eastAsia="es-ES"/>
          </w:rPr>
          <w:t>La OEPM</w:t>
        </w:r>
      </w:smartTag>
      <w:r w:rsidRPr="001F3D5A">
        <w:rPr>
          <w:rFonts w:ascii="Arial" w:hAnsi="Arial" w:cs="Arial"/>
          <w:b/>
          <w:bCs/>
          <w:color w:val="388CB3"/>
          <w:sz w:val="24"/>
          <w:szCs w:val="24"/>
          <w:u w:val="single"/>
          <w:lang w:eastAsia="es-ES"/>
        </w:rPr>
        <w:t xml:space="preserve"> cierra el año aumentando el número de solicitudes de Signos Distintivos en un 3% y de Diseños Industriales en un 23%</w:t>
      </w:r>
    </w:p>
    <w:p w:rsidR="00241B82" w:rsidRDefault="00241B82" w:rsidP="00410AA2">
      <w:pPr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  <w:lang w:eastAsia="es-ES"/>
        </w:rPr>
      </w:pPr>
      <w:r>
        <w:rPr>
          <w:noProof/>
          <w:lang w:eastAsia="es-ES"/>
        </w:rPr>
        <w:pict>
          <v:rect id="_x0000_s1026" style="position:absolute;left:0;text-align:left;margin-left:-9pt;margin-top:122.4pt;width:441pt;height:45pt;z-index:251657216" filled="f" strokecolor="red" strokeweight="2.25pt"/>
        </w:pic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El cierre de </w:t>
      </w:r>
      <w:smartTag w:uri="urn:schemas-microsoft-com:office:smarttags" w:element="PersonName">
        <w:smartTagPr>
          <w:attr w:name="ProductID" w:val="la OEPM"/>
        </w:smartTagPr>
        <w:r>
          <w:rPr>
            <w:rFonts w:ascii="Arial" w:hAnsi="Arial" w:cs="Arial"/>
            <w:color w:val="1F497D"/>
            <w:sz w:val="24"/>
            <w:szCs w:val="24"/>
            <w:lang w:eastAsia="es-ES"/>
          </w:rPr>
          <w:t>la OEPM</w:t>
        </w:r>
      </w:smartTag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correspondiente al ejercicio 2017 ofrece como dato positivo el incremento del </w:t>
      </w:r>
      <w:r w:rsidRPr="00B1642C">
        <w:rPr>
          <w:rFonts w:ascii="Arial" w:hAnsi="Arial" w:cs="Arial"/>
          <w:b/>
          <w:color w:val="1F497D"/>
          <w:sz w:val="24"/>
          <w:szCs w:val="24"/>
          <w:lang w:eastAsia="es-ES"/>
        </w:rPr>
        <w:t>3,4%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de las </w:t>
      </w:r>
      <w:r>
        <w:rPr>
          <w:rFonts w:ascii="Arial" w:hAnsi="Arial" w:cs="Arial"/>
          <w:b/>
          <w:bCs/>
          <w:color w:val="1F497D"/>
          <w:sz w:val="24"/>
          <w:szCs w:val="24"/>
          <w:lang w:eastAsia="es-ES"/>
        </w:rPr>
        <w:t xml:space="preserve">solicitudes de Signos Distintivos </w:t>
      </w:r>
      <w:r w:rsidRPr="00B1642C">
        <w:rPr>
          <w:rFonts w:ascii="Arial" w:hAnsi="Arial" w:cs="Arial"/>
          <w:bCs/>
          <w:color w:val="1F497D"/>
          <w:sz w:val="24"/>
          <w:szCs w:val="24"/>
          <w:lang w:eastAsia="es-ES"/>
        </w:rPr>
        <w:t>con respecto al año pasado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, pasando de </w:t>
      </w:r>
      <w:smartTag w:uri="urn:schemas-microsoft-com:office:smarttags" w:element="PersonName">
        <w:smartTagPr>
          <w:attr w:name="ProductID" w:val="la OEPM."/>
        </w:smartTagPr>
        <w:r>
          <w:rPr>
            <w:rFonts w:ascii="Arial" w:hAnsi="Arial" w:cs="Arial"/>
            <w:color w:val="1F497D"/>
            <w:sz w:val="24"/>
            <w:szCs w:val="24"/>
            <w:lang w:eastAsia="es-ES"/>
          </w:rPr>
          <w:t>59.491 a</w:t>
        </w:r>
      </w:smartTag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61.492 solicitudes tanto de Marcas como de Nombres Comerciales. Si se hace distinción entre ambas modalidades podemos observar que las </w:t>
      </w:r>
      <w:r w:rsidRPr="0034114E">
        <w:rPr>
          <w:rFonts w:ascii="Arial" w:hAnsi="Arial" w:cs="Arial"/>
          <w:b/>
          <w:color w:val="1F497D"/>
          <w:sz w:val="24"/>
          <w:szCs w:val="24"/>
          <w:lang w:eastAsia="es-ES"/>
        </w:rPr>
        <w:t>Marcas se mantienen estables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(pasando de 52.103 solicitudes en </w:t>
      </w:r>
      <w:smartTag w:uri="urn:schemas-microsoft-com:office:smarttags" w:element="PersonName">
        <w:smartTagPr>
          <w:attr w:name="ProductID" w:val="la OEPM."/>
        </w:smartTagPr>
        <w:r>
          <w:rPr>
            <w:rFonts w:ascii="Arial" w:hAnsi="Arial" w:cs="Arial"/>
            <w:color w:val="1F497D"/>
            <w:sz w:val="24"/>
            <w:szCs w:val="24"/>
            <w:lang w:eastAsia="es-ES"/>
          </w:rPr>
          <w:t>2016 a</w:t>
        </w:r>
      </w:smartTag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52.041 en 2017, un  0,1% menos) frente a un </w:t>
      </w:r>
      <w:r w:rsidRPr="0034114E">
        <w:rPr>
          <w:rFonts w:ascii="Arial" w:hAnsi="Arial" w:cs="Arial"/>
          <w:b/>
          <w:color w:val="1F497D"/>
          <w:sz w:val="24"/>
          <w:szCs w:val="24"/>
          <w:lang w:eastAsia="es-ES"/>
        </w:rPr>
        <w:t>aumento del 27,9% en Nombres Comerciales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(de 7.388 solicitudes en  </w:t>
      </w:r>
      <w:smartTag w:uri="urn:schemas-microsoft-com:office:smarttags" w:element="PersonName">
        <w:smartTagPr>
          <w:attr w:name="ProductID" w:val="la OEPM."/>
        </w:smartTagPr>
        <w:r>
          <w:rPr>
            <w:rFonts w:ascii="Arial" w:hAnsi="Arial" w:cs="Arial"/>
            <w:color w:val="1F497D"/>
            <w:sz w:val="24"/>
            <w:szCs w:val="24"/>
            <w:lang w:eastAsia="es-ES"/>
          </w:rPr>
          <w:t>2016 a</w:t>
        </w:r>
      </w:smartTag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9.451 en 2017). </w:t>
      </w:r>
    </w:p>
    <w:p w:rsidR="00241B82" w:rsidRDefault="00241B82" w:rsidP="00410AA2">
      <w:pPr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  <w:lang w:eastAsia="es-ES"/>
        </w:rPr>
      </w:pP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En la modalidad de Marcas, destacan las </w:t>
      </w:r>
      <w:r w:rsidRPr="00195990">
        <w:rPr>
          <w:rFonts w:ascii="Arial" w:hAnsi="Arial" w:cs="Arial"/>
          <w:b/>
          <w:color w:val="1F497D"/>
          <w:sz w:val="24"/>
          <w:szCs w:val="24"/>
          <w:lang w:eastAsia="es-ES"/>
        </w:rPr>
        <w:t>Comunidades Autónomas</w:t>
      </w:r>
      <w:r>
        <w:rPr>
          <w:rFonts w:ascii="Arial" w:hAnsi="Arial" w:cs="Arial"/>
          <w:b/>
          <w:color w:val="1F497D"/>
          <w:sz w:val="24"/>
          <w:szCs w:val="24"/>
          <w:lang w:eastAsia="es-ES"/>
        </w:rPr>
        <w:t xml:space="preserve"> (CCAA)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de </w:t>
      </w:r>
      <w:r w:rsidRPr="005B34D3">
        <w:rPr>
          <w:rFonts w:ascii="Arial" w:hAnsi="Arial" w:cs="Arial"/>
          <w:b/>
          <w:color w:val="1F497D"/>
          <w:sz w:val="24"/>
          <w:szCs w:val="24"/>
          <w:lang w:eastAsia="es-ES"/>
        </w:rPr>
        <w:t>Castilla y León</w:t>
      </w:r>
      <w:r>
        <w:rPr>
          <w:rFonts w:ascii="Arial" w:hAnsi="Arial" w:cs="Arial"/>
          <w:b/>
          <w:color w:val="1F497D"/>
          <w:sz w:val="24"/>
          <w:szCs w:val="24"/>
          <w:lang w:eastAsia="es-ES"/>
        </w:rPr>
        <w:t xml:space="preserve">, Comunidad Valenciana, Andalucía y Madrid, </w:t>
      </w:r>
      <w:r>
        <w:rPr>
          <w:rFonts w:ascii="Arial" w:hAnsi="Arial" w:cs="Arial"/>
          <w:color w:val="1F497D"/>
          <w:sz w:val="24"/>
          <w:szCs w:val="24"/>
          <w:lang w:eastAsia="es-ES"/>
        </w:rPr>
        <w:t>con aumentos del 10%, 5,6%, 4%y 4% respectivamente y en Nombres Comerciales las CCAA con el mayor incremento de solicitudes han sido</w:t>
      </w:r>
      <w:r w:rsidRPr="00B157D9">
        <w:rPr>
          <w:rFonts w:ascii="Arial" w:hAnsi="Arial" w:cs="Arial"/>
          <w:color w:val="FF0000"/>
          <w:sz w:val="24"/>
          <w:szCs w:val="24"/>
          <w:lang w:eastAsia="es-ES"/>
        </w:rPr>
        <w:t xml:space="preserve"> </w:t>
      </w:r>
      <w:r w:rsidRPr="00E60212">
        <w:rPr>
          <w:rFonts w:ascii="Arial" w:hAnsi="Arial" w:cs="Arial"/>
          <w:b/>
          <w:color w:val="1F497D"/>
          <w:sz w:val="24"/>
          <w:szCs w:val="24"/>
          <w:lang w:eastAsia="es-ES"/>
        </w:rPr>
        <w:t>Extremadura, Murcia, Madrid y</w:t>
      </w:r>
      <w:r>
        <w:rPr>
          <w:rFonts w:ascii="Arial" w:hAnsi="Arial" w:cs="Arial"/>
          <w:color w:val="FF0000"/>
          <w:sz w:val="24"/>
          <w:szCs w:val="24"/>
          <w:lang w:eastAsia="es-ES"/>
        </w:rPr>
        <w:t xml:space="preserve"> </w:t>
      </w:r>
      <w:r w:rsidRPr="00502519">
        <w:rPr>
          <w:rFonts w:ascii="Arial" w:hAnsi="Arial" w:cs="Arial"/>
          <w:b/>
          <w:color w:val="1F497D"/>
          <w:sz w:val="24"/>
          <w:szCs w:val="24"/>
          <w:lang w:eastAsia="es-ES"/>
        </w:rPr>
        <w:t>Castilla y León</w:t>
      </w:r>
      <w:r w:rsidRPr="00502519">
        <w:rPr>
          <w:rFonts w:ascii="Arial" w:hAnsi="Arial" w:cs="Arial"/>
          <w:color w:val="1F497D"/>
          <w:sz w:val="24"/>
          <w:szCs w:val="24"/>
          <w:lang w:eastAsia="es-ES"/>
        </w:rPr>
        <w:t xml:space="preserve">, con aumentos del </w:t>
      </w:r>
      <w:r>
        <w:rPr>
          <w:rFonts w:ascii="Arial" w:hAnsi="Arial" w:cs="Arial"/>
          <w:color w:val="1F497D"/>
          <w:sz w:val="24"/>
          <w:szCs w:val="24"/>
          <w:lang w:eastAsia="es-ES"/>
        </w:rPr>
        <w:t>55,6</w:t>
      </w:r>
      <w:r w:rsidRPr="00502519">
        <w:rPr>
          <w:rFonts w:ascii="Arial" w:hAnsi="Arial" w:cs="Arial"/>
          <w:color w:val="1F497D"/>
          <w:sz w:val="24"/>
          <w:szCs w:val="24"/>
          <w:lang w:eastAsia="es-ES"/>
        </w:rPr>
        <w:t xml:space="preserve">%, </w:t>
      </w:r>
      <w:r>
        <w:rPr>
          <w:rFonts w:ascii="Arial" w:hAnsi="Arial" w:cs="Arial"/>
          <w:color w:val="1F497D"/>
          <w:sz w:val="24"/>
          <w:szCs w:val="24"/>
          <w:lang w:eastAsia="es-ES"/>
        </w:rPr>
        <w:t>46,7</w:t>
      </w:r>
      <w:r w:rsidRPr="00502519">
        <w:rPr>
          <w:rFonts w:ascii="Arial" w:hAnsi="Arial" w:cs="Arial"/>
          <w:color w:val="1F497D"/>
          <w:sz w:val="24"/>
          <w:szCs w:val="24"/>
          <w:lang w:eastAsia="es-ES"/>
        </w:rPr>
        <w:t>%</w:t>
      </w:r>
      <w:r>
        <w:rPr>
          <w:rFonts w:ascii="Arial" w:hAnsi="Arial" w:cs="Arial"/>
          <w:color w:val="1F497D"/>
          <w:sz w:val="24"/>
          <w:szCs w:val="24"/>
          <w:lang w:eastAsia="es-ES"/>
        </w:rPr>
        <w:t>, 45%</w:t>
      </w:r>
      <w:r w:rsidRPr="00502519">
        <w:rPr>
          <w:rFonts w:ascii="Arial" w:hAnsi="Arial" w:cs="Arial"/>
          <w:color w:val="1F497D"/>
          <w:sz w:val="24"/>
          <w:szCs w:val="24"/>
          <w:lang w:eastAsia="es-ES"/>
        </w:rPr>
        <w:t xml:space="preserve"> y </w:t>
      </w:r>
      <w:r>
        <w:rPr>
          <w:rFonts w:ascii="Arial" w:hAnsi="Arial" w:cs="Arial"/>
          <w:color w:val="1F497D"/>
          <w:sz w:val="24"/>
          <w:szCs w:val="24"/>
          <w:lang w:eastAsia="es-ES"/>
        </w:rPr>
        <w:t>39,5%</w:t>
      </w:r>
      <w:r>
        <w:rPr>
          <w:rFonts w:ascii="Arial" w:hAnsi="Arial" w:cs="Arial"/>
          <w:color w:val="FF0000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color w:val="1F497D"/>
          <w:sz w:val="24"/>
          <w:szCs w:val="24"/>
          <w:lang w:eastAsia="es-ES"/>
        </w:rPr>
        <w:t>respectivamente.</w:t>
      </w:r>
    </w:p>
    <w:p w:rsidR="00241B82" w:rsidRDefault="00241B82" w:rsidP="009F4B65">
      <w:pPr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  <w:lang w:eastAsia="es-ES"/>
        </w:rPr>
      </w:pP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En cuanto a la </w:t>
      </w:r>
      <w:r w:rsidRPr="00334DAE">
        <w:rPr>
          <w:rFonts w:ascii="Arial" w:hAnsi="Arial" w:cs="Arial"/>
          <w:b/>
          <w:color w:val="1F497D"/>
          <w:sz w:val="24"/>
          <w:szCs w:val="24"/>
          <w:lang w:eastAsia="es-ES"/>
        </w:rPr>
        <w:t xml:space="preserve">actividad </w:t>
      </w:r>
      <w:r>
        <w:rPr>
          <w:rFonts w:ascii="Arial" w:hAnsi="Arial" w:cs="Arial"/>
          <w:b/>
          <w:color w:val="1F497D"/>
          <w:sz w:val="24"/>
          <w:szCs w:val="24"/>
          <w:lang w:eastAsia="es-ES"/>
        </w:rPr>
        <w:t>marcaria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de Marcas (ratio de solicitudes de marcas por cada millón de habitantes) destacan las CCAA de </w:t>
      </w:r>
      <w:r>
        <w:rPr>
          <w:rFonts w:ascii="Arial" w:hAnsi="Arial" w:cs="Arial"/>
          <w:b/>
          <w:color w:val="1F497D"/>
          <w:sz w:val="24"/>
          <w:szCs w:val="24"/>
          <w:lang w:eastAsia="es-ES"/>
        </w:rPr>
        <w:t>Madrid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, </w:t>
      </w:r>
      <w:smartTag w:uri="urn:schemas-microsoft-com:office:smarttags" w:element="PersonName">
        <w:smartTagPr>
          <w:attr w:name="ProductID" w:val="la OEPM."/>
        </w:smartTagPr>
        <w:r>
          <w:rPr>
            <w:rFonts w:ascii="Arial" w:hAnsi="Arial" w:cs="Arial"/>
            <w:b/>
            <w:color w:val="1F497D"/>
            <w:sz w:val="24"/>
            <w:szCs w:val="24"/>
            <w:lang w:eastAsia="es-ES"/>
          </w:rPr>
          <w:t>La Rioja</w:t>
        </w:r>
      </w:smartTag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e</w:t>
      </w:r>
      <w:r w:rsidRPr="009F4B65">
        <w:rPr>
          <w:rFonts w:ascii="Arial" w:hAnsi="Arial" w:cs="Arial"/>
          <w:b/>
          <w:color w:val="1F497D"/>
          <w:sz w:val="24"/>
          <w:szCs w:val="24"/>
          <w:lang w:eastAsia="es-ES"/>
        </w:rPr>
        <w:t xml:space="preserve"> Islas Baleares</w:t>
      </w:r>
      <w:r>
        <w:rPr>
          <w:rFonts w:ascii="Arial" w:hAnsi="Arial" w:cs="Arial"/>
          <w:b/>
          <w:color w:val="1F497D"/>
          <w:sz w:val="24"/>
          <w:szCs w:val="24"/>
          <w:lang w:eastAsia="es-ES"/>
        </w:rPr>
        <w:t>,</w:t>
      </w:r>
      <w:r w:rsidRPr="009F4B65">
        <w:rPr>
          <w:rFonts w:ascii="Arial" w:hAnsi="Arial" w:cs="Arial"/>
          <w:b/>
          <w:color w:val="1F497D"/>
          <w:sz w:val="24"/>
          <w:szCs w:val="24"/>
          <w:lang w:eastAsia="es-ES"/>
        </w:rPr>
        <w:t xml:space="preserve"> </w:t>
      </w:r>
      <w:r w:rsidRPr="00334DAE">
        <w:rPr>
          <w:rFonts w:ascii="Arial" w:hAnsi="Arial" w:cs="Arial"/>
          <w:color w:val="1F497D"/>
          <w:sz w:val="24"/>
          <w:szCs w:val="24"/>
          <w:lang w:eastAsia="es-ES"/>
        </w:rPr>
        <w:t xml:space="preserve">y en cuanto a 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la </w:t>
      </w:r>
      <w:r w:rsidRPr="00334DAE">
        <w:rPr>
          <w:rFonts w:ascii="Arial" w:hAnsi="Arial" w:cs="Arial"/>
          <w:color w:val="1F497D"/>
          <w:sz w:val="24"/>
          <w:szCs w:val="24"/>
          <w:lang w:eastAsia="es-ES"/>
        </w:rPr>
        <w:t xml:space="preserve">actividad </w:t>
      </w:r>
      <w:r>
        <w:rPr>
          <w:rFonts w:ascii="Arial" w:hAnsi="Arial" w:cs="Arial"/>
          <w:color w:val="1F497D"/>
          <w:sz w:val="24"/>
          <w:szCs w:val="24"/>
          <w:lang w:eastAsia="es-ES"/>
        </w:rPr>
        <w:t>marcaria de los Nombres Comerciales han sido</w:t>
      </w:r>
      <w:r>
        <w:rPr>
          <w:rFonts w:ascii="Arial" w:hAnsi="Arial" w:cs="Arial"/>
          <w:b/>
          <w:color w:val="1F497D"/>
          <w:sz w:val="24"/>
          <w:szCs w:val="24"/>
          <w:lang w:eastAsia="es-ES"/>
        </w:rPr>
        <w:t xml:space="preserve"> </w:t>
      </w:r>
      <w:r w:rsidRPr="00334DAE">
        <w:rPr>
          <w:rFonts w:ascii="Arial" w:hAnsi="Arial" w:cs="Arial"/>
          <w:color w:val="1F497D"/>
          <w:sz w:val="24"/>
          <w:szCs w:val="24"/>
          <w:lang w:eastAsia="es-ES"/>
        </w:rPr>
        <w:t>las CCAA de</w:t>
      </w:r>
      <w:r>
        <w:rPr>
          <w:rFonts w:ascii="Arial" w:hAnsi="Arial" w:cs="Arial"/>
          <w:b/>
          <w:color w:val="1F497D"/>
          <w:sz w:val="24"/>
          <w:szCs w:val="24"/>
          <w:lang w:eastAsia="es-ES"/>
        </w:rPr>
        <w:t xml:space="preserve"> Madrid, Islas Baleares y Galicia.</w:t>
      </w:r>
    </w:p>
    <w:p w:rsidR="00241B82" w:rsidRPr="00DF7834" w:rsidRDefault="00241B82" w:rsidP="00410AA2">
      <w:pPr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  <w:lang w:eastAsia="es-ES"/>
        </w:rPr>
      </w:pP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En lo que respecta a </w:t>
      </w:r>
      <w:r>
        <w:rPr>
          <w:rFonts w:ascii="Arial" w:hAnsi="Arial" w:cs="Arial"/>
          <w:b/>
          <w:bCs/>
          <w:color w:val="1F497D"/>
          <w:sz w:val="24"/>
          <w:szCs w:val="24"/>
          <w:lang w:eastAsia="es-ES"/>
        </w:rPr>
        <w:t>Diseños Industriales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, durante </w:t>
      </w:r>
      <w:smartTag w:uri="urn:schemas-microsoft-com:office:smarttags" w:element="PersonName">
        <w:smartTagPr>
          <w:attr w:name="ProductID" w:val="la OEPM."/>
        </w:smartTagPr>
        <w:r>
          <w:rPr>
            <w:rFonts w:ascii="Arial" w:hAnsi="Arial" w:cs="Arial"/>
            <w:color w:val="1F497D"/>
            <w:sz w:val="24"/>
            <w:szCs w:val="24"/>
            <w:lang w:eastAsia="es-ES"/>
          </w:rPr>
          <w:t>2017 ha</w:t>
        </w:r>
      </w:smartTag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habido un </w:t>
      </w:r>
      <w:r>
        <w:rPr>
          <w:rFonts w:ascii="Arial" w:hAnsi="Arial" w:cs="Arial"/>
          <w:b/>
          <w:bCs/>
          <w:color w:val="1F497D"/>
          <w:sz w:val="24"/>
          <w:szCs w:val="24"/>
          <w:lang w:eastAsia="es-ES"/>
        </w:rPr>
        <w:t>incremento del 22,6%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en el </w:t>
      </w:r>
      <w:r w:rsidRPr="00B1642C">
        <w:rPr>
          <w:rFonts w:ascii="Arial" w:hAnsi="Arial" w:cs="Arial"/>
          <w:b/>
          <w:color w:val="1F497D"/>
          <w:sz w:val="24"/>
          <w:szCs w:val="24"/>
          <w:lang w:eastAsia="es-ES"/>
        </w:rPr>
        <w:t>número de diseños presentados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(pasando de 18.035 diseños en </w:t>
      </w:r>
      <w:smartTag w:uri="urn:schemas-microsoft-com:office:smarttags" w:element="PersonName">
        <w:smartTagPr>
          <w:attr w:name="ProductID" w:val="la OEPM."/>
        </w:smartTagPr>
        <w:r>
          <w:rPr>
            <w:rFonts w:ascii="Arial" w:hAnsi="Arial" w:cs="Arial"/>
            <w:color w:val="1F497D"/>
            <w:sz w:val="24"/>
            <w:szCs w:val="24"/>
            <w:lang w:eastAsia="es-ES"/>
          </w:rPr>
          <w:t>2016 a</w:t>
        </w:r>
      </w:smartTag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22.109 en 2017). Comparando expedientes, </w:t>
      </w:r>
      <w:smartTag w:uri="urn:schemas-microsoft-com:office:smarttags" w:element="PersonName">
        <w:smartTagPr>
          <w:attr w:name="ProductID" w:val="la OEPM."/>
        </w:smartTagPr>
        <w:r>
          <w:rPr>
            <w:rFonts w:ascii="Arial" w:hAnsi="Arial" w:cs="Arial"/>
            <w:color w:val="1F497D"/>
            <w:sz w:val="24"/>
            <w:szCs w:val="24"/>
            <w:lang w:eastAsia="es-ES"/>
          </w:rPr>
          <w:t xml:space="preserve">la </w:t>
        </w:r>
        <w:r w:rsidRPr="00DF7834">
          <w:rPr>
            <w:rFonts w:ascii="Arial" w:hAnsi="Arial" w:cs="Arial"/>
            <w:color w:val="1F497D"/>
            <w:sz w:val="24"/>
            <w:szCs w:val="24"/>
            <w:lang w:eastAsia="es-ES"/>
          </w:rPr>
          <w:t>OEPM</w:t>
        </w:r>
      </w:smartTag>
      <w:r w:rsidRPr="00DF7834">
        <w:rPr>
          <w:rFonts w:ascii="Arial" w:hAnsi="Arial" w:cs="Arial"/>
          <w:color w:val="1F497D"/>
          <w:sz w:val="24"/>
          <w:szCs w:val="24"/>
          <w:lang w:eastAsia="es-ES"/>
        </w:rPr>
        <w:t xml:space="preserve"> ha recibido 1.890 expedientes frente a los 2.096 que recibió en 2016. </w:t>
      </w:r>
    </w:p>
    <w:p w:rsidR="00241B82" w:rsidRPr="00D83764" w:rsidRDefault="00241B82" w:rsidP="00410AA2">
      <w:pPr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  <w:lang w:eastAsia="es-ES"/>
        </w:rPr>
      </w:pPr>
      <w:r>
        <w:rPr>
          <w:noProof/>
          <w:lang w:eastAsia="es-ES"/>
        </w:rPr>
        <w:pict>
          <v:rect id="_x0000_s1027" style="position:absolute;left:0;text-align:left;margin-left:-9pt;margin-top:48.85pt;width:441pt;height:54pt;z-index:251658240" filled="f" strokecolor="red" strokeweight="2.25pt"/>
        </w:pict>
      </w:r>
      <w:r w:rsidRPr="00D83764">
        <w:rPr>
          <w:rFonts w:ascii="Arial" w:hAnsi="Arial" w:cs="Arial"/>
          <w:color w:val="1F497D"/>
          <w:sz w:val="24"/>
          <w:szCs w:val="24"/>
          <w:lang w:eastAsia="es-ES"/>
        </w:rPr>
        <w:t xml:space="preserve">Destacan </w:t>
      </w:r>
      <w:r w:rsidRPr="00D83764">
        <w:rPr>
          <w:rFonts w:ascii="Arial" w:hAnsi="Arial" w:cs="Arial"/>
          <w:b/>
          <w:color w:val="1F497D"/>
          <w:sz w:val="24"/>
          <w:szCs w:val="24"/>
          <w:lang w:eastAsia="es-ES"/>
        </w:rPr>
        <w:t xml:space="preserve">Ceuta y Melilla, </w:t>
      </w:r>
      <w:smartTag w:uri="urn:schemas-microsoft-com:office:smarttags" w:element="PersonName">
        <w:smartTagPr>
          <w:attr w:name="ProductID" w:val="la OEPM."/>
        </w:smartTagPr>
        <w:r w:rsidRPr="00D83764">
          <w:rPr>
            <w:rFonts w:ascii="Arial" w:hAnsi="Arial" w:cs="Arial"/>
            <w:b/>
            <w:color w:val="1F497D"/>
            <w:sz w:val="24"/>
            <w:szCs w:val="24"/>
            <w:lang w:eastAsia="es-ES"/>
          </w:rPr>
          <w:t>la Rioja</w:t>
        </w:r>
      </w:smartTag>
      <w:r w:rsidRPr="00D83764">
        <w:rPr>
          <w:rFonts w:ascii="Arial" w:hAnsi="Arial" w:cs="Arial"/>
          <w:b/>
          <w:color w:val="1F497D"/>
          <w:sz w:val="24"/>
          <w:szCs w:val="24"/>
          <w:lang w:eastAsia="es-ES"/>
        </w:rPr>
        <w:t>, Extremadura y Cataluña,</w:t>
      </w:r>
      <w:r w:rsidRPr="00D83764">
        <w:rPr>
          <w:rFonts w:ascii="Arial" w:hAnsi="Arial" w:cs="Arial"/>
          <w:color w:val="1F497D"/>
          <w:sz w:val="24"/>
          <w:szCs w:val="24"/>
          <w:lang w:eastAsia="es-ES"/>
        </w:rPr>
        <w:t xml:space="preserve"> con aumentos del 233,3%, 140%, 66,7%y 36,5% respectivamente en el número de expedientes de diseños solicitados en 2017 con respecto al año anterior.</w:t>
      </w:r>
    </w:p>
    <w:p w:rsidR="00241B82" w:rsidRPr="00D83764" w:rsidRDefault="00241B82" w:rsidP="00410AA2">
      <w:pPr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  <w:lang w:eastAsia="es-ES"/>
        </w:rPr>
      </w:pPr>
      <w:r w:rsidRPr="00D83764">
        <w:rPr>
          <w:rFonts w:ascii="Arial" w:hAnsi="Arial" w:cs="Arial"/>
          <w:color w:val="1F497D"/>
          <w:sz w:val="24"/>
          <w:szCs w:val="24"/>
          <w:lang w:eastAsia="es-ES"/>
        </w:rPr>
        <w:t xml:space="preserve">En cuanto a la </w:t>
      </w:r>
      <w:r w:rsidRPr="00D83764">
        <w:rPr>
          <w:rFonts w:ascii="Arial" w:hAnsi="Arial" w:cs="Arial"/>
          <w:b/>
          <w:color w:val="1F497D"/>
          <w:sz w:val="24"/>
          <w:szCs w:val="24"/>
          <w:lang w:eastAsia="es-ES"/>
        </w:rPr>
        <w:t>actividad de diseño</w:t>
      </w:r>
      <w:r w:rsidRPr="00D83764">
        <w:rPr>
          <w:rFonts w:ascii="Arial" w:hAnsi="Arial" w:cs="Arial"/>
          <w:color w:val="1F497D"/>
          <w:sz w:val="24"/>
          <w:szCs w:val="24"/>
          <w:lang w:eastAsia="es-ES"/>
        </w:rPr>
        <w:t xml:space="preserve"> (ratio de solicitudes de diseños industriales por cada millón de habitantes) destacan </w:t>
      </w:r>
      <w:r w:rsidRPr="00D83764">
        <w:rPr>
          <w:rFonts w:ascii="Arial" w:hAnsi="Arial" w:cs="Arial"/>
          <w:b/>
          <w:color w:val="1F497D"/>
          <w:sz w:val="24"/>
          <w:szCs w:val="24"/>
          <w:lang w:eastAsia="es-ES"/>
        </w:rPr>
        <w:t xml:space="preserve">Ceuta y Melilla, </w:t>
      </w:r>
      <w:smartTag w:uri="urn:schemas-microsoft-com:office:smarttags" w:element="PersonName">
        <w:smartTagPr>
          <w:attr w:name="ProductID" w:val="la OEPM."/>
        </w:smartTagPr>
        <w:r w:rsidRPr="00D83764">
          <w:rPr>
            <w:rFonts w:ascii="Arial" w:hAnsi="Arial" w:cs="Arial"/>
            <w:b/>
            <w:color w:val="1F497D"/>
            <w:sz w:val="24"/>
            <w:szCs w:val="24"/>
            <w:lang w:eastAsia="es-ES"/>
          </w:rPr>
          <w:t>La Rioja</w:t>
        </w:r>
      </w:smartTag>
      <w:r w:rsidRPr="00D83764">
        <w:rPr>
          <w:rFonts w:ascii="Arial" w:hAnsi="Arial" w:cs="Arial"/>
          <w:b/>
          <w:color w:val="1F497D"/>
          <w:sz w:val="24"/>
          <w:szCs w:val="24"/>
          <w:lang w:eastAsia="es-ES"/>
        </w:rPr>
        <w:t>, Comunidad Valenciana y Madrid</w:t>
      </w:r>
      <w:r w:rsidRPr="00D83764">
        <w:rPr>
          <w:rFonts w:ascii="Arial" w:hAnsi="Arial" w:cs="Arial"/>
          <w:color w:val="1F497D"/>
          <w:sz w:val="24"/>
          <w:szCs w:val="24"/>
          <w:lang w:eastAsia="es-ES"/>
        </w:rPr>
        <w:t>.</w:t>
      </w:r>
    </w:p>
    <w:p w:rsidR="00241B82" w:rsidRDefault="00241B82" w:rsidP="00FB027A">
      <w:pPr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Respecto a </w:t>
      </w:r>
      <w:r>
        <w:rPr>
          <w:rFonts w:ascii="Arial" w:hAnsi="Arial" w:cs="Arial"/>
          <w:b/>
          <w:bCs/>
          <w:color w:val="1F497D"/>
          <w:sz w:val="24"/>
          <w:szCs w:val="24"/>
          <w:lang w:eastAsia="es-ES"/>
        </w:rPr>
        <w:t>Invenciones (Patentes y Modelos de Utilidad),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e</w:t>
      </w:r>
      <w:r>
        <w:rPr>
          <w:rFonts w:ascii="Arial" w:hAnsi="Arial" w:cs="Arial"/>
          <w:color w:val="1F497D"/>
          <w:sz w:val="24"/>
          <w:szCs w:val="24"/>
        </w:rPr>
        <w:t xml:space="preserve">l hito más importante en el </w:t>
      </w:r>
      <w:smartTag w:uri="urn:schemas-microsoft-com:office:smarttags" w:element="PersonName">
        <w:smartTagPr>
          <w:attr w:name="ProductID" w:val="la OEPM."/>
        </w:smartTagPr>
        <w:r w:rsidRPr="004C78AA">
          <w:rPr>
            <w:rFonts w:ascii="Arial" w:hAnsi="Arial" w:cs="Arial"/>
            <w:color w:val="1F497D"/>
            <w:sz w:val="24"/>
            <w:szCs w:val="24"/>
          </w:rPr>
          <w:t>2017 ha</w:t>
        </w:r>
      </w:smartTag>
      <w:r w:rsidRPr="004C78AA">
        <w:rPr>
          <w:rFonts w:ascii="Arial" w:hAnsi="Arial" w:cs="Arial"/>
          <w:color w:val="1F497D"/>
          <w:sz w:val="24"/>
          <w:szCs w:val="24"/>
        </w:rPr>
        <w:t xml:space="preserve"> sido la </w:t>
      </w:r>
      <w:r w:rsidRPr="0034114E">
        <w:rPr>
          <w:rFonts w:ascii="Arial" w:hAnsi="Arial" w:cs="Arial"/>
          <w:b/>
          <w:color w:val="1F497D"/>
          <w:sz w:val="24"/>
          <w:szCs w:val="24"/>
        </w:rPr>
        <w:t>entrada en vigor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 el pasado 1 de abril de</w:t>
      </w:r>
      <w:r>
        <w:rPr>
          <w:rFonts w:ascii="Arial" w:hAnsi="Arial" w:cs="Arial"/>
          <w:color w:val="1F497D"/>
          <w:sz w:val="24"/>
          <w:szCs w:val="24"/>
        </w:rPr>
        <w:t xml:space="preserve"> 2017 de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OEPM."/>
        </w:smartTagPr>
        <w:r w:rsidRPr="004C78AA">
          <w:rPr>
            <w:rFonts w:ascii="Arial" w:hAnsi="Arial" w:cs="Arial"/>
            <w:color w:val="1F497D"/>
            <w:sz w:val="24"/>
            <w:szCs w:val="24"/>
          </w:rPr>
          <w:t xml:space="preserve">la </w:t>
        </w:r>
        <w:r w:rsidRPr="004C78AA">
          <w:rPr>
            <w:rFonts w:ascii="Arial" w:hAnsi="Arial" w:cs="Arial"/>
            <w:b/>
            <w:bCs/>
            <w:color w:val="1F497D"/>
            <w:sz w:val="24"/>
            <w:szCs w:val="24"/>
          </w:rPr>
          <w:t>Ley</w:t>
        </w:r>
      </w:smartTag>
      <w:r w:rsidRPr="004C78AA">
        <w:rPr>
          <w:rFonts w:ascii="Arial" w:hAnsi="Arial" w:cs="Arial"/>
          <w:b/>
          <w:bCs/>
          <w:color w:val="1F497D"/>
          <w:sz w:val="24"/>
          <w:szCs w:val="24"/>
        </w:rPr>
        <w:t xml:space="preserve"> de Patentes 24/2015</w:t>
      </w:r>
      <w:r>
        <w:rPr>
          <w:rFonts w:ascii="Arial" w:hAnsi="Arial" w:cs="Arial"/>
          <w:b/>
          <w:bCs/>
          <w:color w:val="1F497D"/>
          <w:sz w:val="24"/>
          <w:szCs w:val="24"/>
        </w:rPr>
        <w:t>,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 cuyo texto legal ofrece un </w:t>
      </w:r>
      <w:r w:rsidRPr="004C78AA">
        <w:rPr>
          <w:rFonts w:ascii="Arial" w:hAnsi="Arial" w:cs="Arial"/>
          <w:b/>
          <w:bCs/>
          <w:color w:val="1F497D"/>
          <w:sz w:val="24"/>
          <w:szCs w:val="24"/>
        </w:rPr>
        <w:t xml:space="preserve">sistema fuerte de </w:t>
      </w:r>
      <w:r w:rsidRPr="0034114E">
        <w:rPr>
          <w:rFonts w:ascii="Arial" w:hAnsi="Arial" w:cs="Arial"/>
          <w:b/>
          <w:bCs/>
          <w:color w:val="1F497D"/>
          <w:sz w:val="24"/>
          <w:szCs w:val="24"/>
        </w:rPr>
        <w:t>protección</w:t>
      </w:r>
      <w:r w:rsidRPr="0034114E">
        <w:rPr>
          <w:rFonts w:ascii="Arial" w:hAnsi="Arial" w:cs="Arial"/>
          <w:b/>
          <w:color w:val="1F497D"/>
          <w:sz w:val="24"/>
          <w:szCs w:val="24"/>
        </w:rPr>
        <w:t xml:space="preserve"> a las invenciones nacionales</w:t>
      </w:r>
      <w:r w:rsidRPr="004C78AA">
        <w:rPr>
          <w:rFonts w:ascii="Arial" w:hAnsi="Arial" w:cs="Arial"/>
          <w:color w:val="1F497D"/>
          <w:sz w:val="24"/>
          <w:szCs w:val="24"/>
        </w:rPr>
        <w:t>, equiparando</w:t>
      </w:r>
      <w:r>
        <w:rPr>
          <w:rFonts w:ascii="Arial" w:hAnsi="Arial" w:cs="Arial"/>
          <w:color w:val="1F497D"/>
          <w:sz w:val="24"/>
          <w:szCs w:val="24"/>
        </w:rPr>
        <w:t xml:space="preserve"> sus derechos a la protección otorgada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 por países de nuestro entorno y siendo el mismo compatible con el establecido a escala europea. Se han endurecido algunas de las condiciones exigidas para otorgar el derecho de patente ya que </w:t>
      </w:r>
      <w:r w:rsidRPr="004C78AA">
        <w:rPr>
          <w:rFonts w:ascii="Arial" w:hAnsi="Arial" w:cs="Arial"/>
          <w:b/>
          <w:bCs/>
          <w:color w:val="1F497D"/>
          <w:sz w:val="24"/>
          <w:szCs w:val="24"/>
        </w:rPr>
        <w:t>sólo se permitirá conceder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 aquellas invenciones que posean la </w:t>
      </w:r>
      <w:r w:rsidRPr="004C78AA">
        <w:rPr>
          <w:rFonts w:ascii="Arial" w:hAnsi="Arial" w:cs="Arial"/>
          <w:b/>
          <w:bCs/>
          <w:color w:val="1F497D"/>
          <w:sz w:val="24"/>
          <w:szCs w:val="24"/>
        </w:rPr>
        <w:t>novedad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 y </w:t>
      </w:r>
      <w:r w:rsidRPr="004C78AA">
        <w:rPr>
          <w:rFonts w:ascii="Arial" w:hAnsi="Arial" w:cs="Arial"/>
          <w:b/>
          <w:bCs/>
          <w:color w:val="1F497D"/>
          <w:sz w:val="24"/>
          <w:szCs w:val="24"/>
        </w:rPr>
        <w:t>actividad inventiva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 exigidas en </w:t>
      </w:r>
      <w:smartTag w:uri="urn:schemas-microsoft-com:office:smarttags" w:element="PersonName">
        <w:smartTagPr>
          <w:attr w:name="ProductID" w:val="la OEPM."/>
        </w:smartTagPr>
        <w:r w:rsidRPr="004C78AA">
          <w:rPr>
            <w:rFonts w:ascii="Arial" w:hAnsi="Arial" w:cs="Arial"/>
            <w:color w:val="1F497D"/>
            <w:sz w:val="24"/>
            <w:szCs w:val="24"/>
          </w:rPr>
          <w:t>la Ley.</w:t>
        </w:r>
      </w:smartTag>
      <w:r w:rsidRPr="004C78AA">
        <w:rPr>
          <w:rFonts w:ascii="Arial" w:hAnsi="Arial" w:cs="Arial"/>
          <w:color w:val="1F497D"/>
          <w:sz w:val="24"/>
          <w:szCs w:val="24"/>
        </w:rPr>
        <w:t xml:space="preserve"> </w:t>
      </w:r>
    </w:p>
    <w:p w:rsidR="00241B82" w:rsidRPr="00FB027A" w:rsidRDefault="00241B82" w:rsidP="00FB027A">
      <w:pPr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  <w:lang w:eastAsia="es-ES"/>
        </w:rPr>
      </w:pPr>
      <w:r>
        <w:rPr>
          <w:rFonts w:ascii="Arial" w:hAnsi="Arial" w:cs="Arial"/>
          <w:color w:val="1F497D"/>
          <w:sz w:val="24"/>
          <w:szCs w:val="24"/>
        </w:rPr>
        <w:t>Es por ello que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 la entrada en vigor </w:t>
      </w:r>
      <w:r>
        <w:rPr>
          <w:rFonts w:ascii="Arial" w:hAnsi="Arial" w:cs="Arial"/>
          <w:color w:val="1F497D"/>
          <w:sz w:val="24"/>
          <w:szCs w:val="24"/>
        </w:rPr>
        <w:t xml:space="preserve">de la nueva Ley 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ha sido un </w:t>
      </w:r>
      <w:r w:rsidRPr="00FB027A">
        <w:rPr>
          <w:rFonts w:ascii="Arial" w:hAnsi="Arial" w:cs="Arial"/>
          <w:b/>
          <w:color w:val="1F497D"/>
          <w:sz w:val="24"/>
          <w:szCs w:val="24"/>
        </w:rPr>
        <w:t>elemento disuasorio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 de presentación de aquellas patentes que pretendían ser concedidas con otros fines que no fueran su explotación o la puesta en el mercado en beneficio de la sociedad. La </w:t>
      </w:r>
      <w:r>
        <w:rPr>
          <w:rFonts w:ascii="Arial" w:hAnsi="Arial" w:cs="Arial"/>
          <w:color w:val="1F497D"/>
          <w:sz w:val="24"/>
          <w:szCs w:val="24"/>
        </w:rPr>
        <w:t xml:space="preserve">nueva 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Ley </w:t>
      </w:r>
      <w:r>
        <w:rPr>
          <w:rFonts w:ascii="Arial" w:hAnsi="Arial" w:cs="Arial"/>
          <w:b/>
          <w:bCs/>
          <w:color w:val="1F497D"/>
          <w:sz w:val="24"/>
          <w:szCs w:val="24"/>
        </w:rPr>
        <w:t>garantiza de esta manera</w:t>
      </w:r>
      <w:r w:rsidRPr="004C78AA">
        <w:rPr>
          <w:rFonts w:ascii="Arial" w:hAnsi="Arial" w:cs="Arial"/>
          <w:b/>
          <w:bCs/>
          <w:color w:val="1F497D"/>
          <w:sz w:val="24"/>
          <w:szCs w:val="24"/>
        </w:rPr>
        <w:t xml:space="preserve"> el correcto uso del sistema de patentes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 donde el monopolio en exclusiva otorgado al titular del derecho está justificado con el beneficio social y tecnológico que supone la concesión de la patente, ayudando a la evolución tecnológica de nuestro país. </w:t>
      </w:r>
    </w:p>
    <w:p w:rsidR="00241B82" w:rsidRDefault="00241B82" w:rsidP="00195990">
      <w:pPr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Por todo lo anterior, se debe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 analizar la comparación de los datos </w:t>
      </w:r>
      <w:r>
        <w:rPr>
          <w:rFonts w:ascii="Arial" w:hAnsi="Arial" w:cs="Arial"/>
          <w:color w:val="1F497D"/>
          <w:sz w:val="24"/>
          <w:szCs w:val="24"/>
        </w:rPr>
        <w:t xml:space="preserve">estadísticos 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de ambos años </w:t>
      </w:r>
      <w:r w:rsidRPr="0034114E">
        <w:rPr>
          <w:rFonts w:ascii="Arial" w:hAnsi="Arial" w:cs="Arial"/>
          <w:b/>
          <w:color w:val="1F497D"/>
          <w:sz w:val="24"/>
          <w:szCs w:val="24"/>
        </w:rPr>
        <w:t>mes a mes</w:t>
      </w:r>
      <w:r>
        <w:rPr>
          <w:rFonts w:ascii="Arial" w:hAnsi="Arial" w:cs="Arial"/>
          <w:color w:val="1F497D"/>
          <w:sz w:val="24"/>
          <w:szCs w:val="24"/>
        </w:rPr>
        <w:t>,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 ya que de Enero a Marzo de 2017 estaba todavía en vigor la antigua Ley de Patentes 11/86 al igual que </w:t>
      </w:r>
      <w:r>
        <w:rPr>
          <w:rFonts w:ascii="Arial" w:hAnsi="Arial" w:cs="Arial"/>
          <w:color w:val="1F497D"/>
          <w:sz w:val="24"/>
          <w:szCs w:val="24"/>
        </w:rPr>
        <w:t xml:space="preserve">lo estuvo durante </w:t>
      </w:r>
      <w:r w:rsidRPr="004C78AA">
        <w:rPr>
          <w:rFonts w:ascii="Arial" w:hAnsi="Arial" w:cs="Arial"/>
          <w:color w:val="1F497D"/>
          <w:sz w:val="24"/>
          <w:szCs w:val="24"/>
        </w:rPr>
        <w:t>todo el año 2016.</w:t>
      </w:r>
    </w:p>
    <w:p w:rsidR="00241B82" w:rsidRPr="004C78AA" w:rsidRDefault="00241B82" w:rsidP="00195990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241B82" w:rsidRPr="004C78AA" w:rsidRDefault="00241B82" w:rsidP="00195990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4C78AA">
        <w:rPr>
          <w:rFonts w:ascii="Arial" w:hAnsi="Arial" w:cs="Arial"/>
          <w:color w:val="1F497D"/>
          <w:sz w:val="24"/>
          <w:szCs w:val="24"/>
        </w:rPr>
        <w:t xml:space="preserve">Comparando los </w:t>
      </w:r>
      <w:r w:rsidRPr="004C78AA">
        <w:rPr>
          <w:rFonts w:ascii="Arial" w:hAnsi="Arial" w:cs="Arial"/>
          <w:b/>
          <w:bCs/>
          <w:color w:val="1F497D"/>
          <w:sz w:val="24"/>
          <w:szCs w:val="24"/>
        </w:rPr>
        <w:t>tres primeros meses del año 2017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 con los del año anterior</w:t>
      </w:r>
      <w:r>
        <w:rPr>
          <w:rFonts w:ascii="Arial" w:hAnsi="Arial" w:cs="Arial"/>
          <w:color w:val="1F497D"/>
          <w:sz w:val="24"/>
          <w:szCs w:val="24"/>
        </w:rPr>
        <w:t xml:space="preserve">, 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se </w:t>
      </w:r>
      <w:r>
        <w:rPr>
          <w:rFonts w:ascii="Arial" w:hAnsi="Arial" w:cs="Arial"/>
          <w:color w:val="1F497D"/>
          <w:sz w:val="24"/>
          <w:szCs w:val="24"/>
        </w:rPr>
        <w:t>contempla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 un gran aum</w:t>
      </w:r>
      <w:r>
        <w:rPr>
          <w:rFonts w:ascii="Arial" w:hAnsi="Arial" w:cs="Arial"/>
          <w:color w:val="1F497D"/>
          <w:sz w:val="24"/>
          <w:szCs w:val="24"/>
        </w:rPr>
        <w:t xml:space="preserve">ento de solicitudes de patentes presentadas (de 628 solicitudes de patentes presentadas en </w:t>
      </w:r>
      <w:smartTag w:uri="urn:schemas-microsoft-com:office:smarttags" w:element="PersonName">
        <w:smartTagPr>
          <w:attr w:name="ProductID" w:val="la OEPM."/>
        </w:smartTagPr>
        <w:r>
          <w:rPr>
            <w:rFonts w:ascii="Arial" w:hAnsi="Arial" w:cs="Arial"/>
            <w:color w:val="1F497D"/>
            <w:sz w:val="24"/>
            <w:szCs w:val="24"/>
          </w:rPr>
          <w:t>2016 a</w:t>
        </w:r>
      </w:smartTag>
      <w:r>
        <w:rPr>
          <w:rFonts w:ascii="Arial" w:hAnsi="Arial" w:cs="Arial"/>
          <w:color w:val="1F497D"/>
          <w:sz w:val="24"/>
          <w:szCs w:val="24"/>
        </w:rPr>
        <w:t xml:space="preserve"> 1.103 en 2017), </w:t>
      </w:r>
      <w:r w:rsidRPr="00BE5559">
        <w:rPr>
          <w:rFonts w:ascii="Arial" w:hAnsi="Arial" w:cs="Arial"/>
          <w:b/>
          <w:color w:val="1F497D"/>
          <w:sz w:val="24"/>
          <w:szCs w:val="24"/>
        </w:rPr>
        <w:t>un 75%</w:t>
      </w:r>
      <w:r>
        <w:rPr>
          <w:rFonts w:ascii="Arial" w:hAnsi="Arial" w:cs="Arial"/>
          <w:b/>
          <w:color w:val="1F497D"/>
          <w:sz w:val="24"/>
          <w:szCs w:val="24"/>
        </w:rPr>
        <w:t xml:space="preserve"> más</w:t>
      </w:r>
      <w:r w:rsidRPr="00BE5559">
        <w:rPr>
          <w:rFonts w:ascii="Arial" w:hAnsi="Arial" w:cs="Arial"/>
          <w:b/>
          <w:color w:val="1F497D"/>
          <w:sz w:val="24"/>
          <w:szCs w:val="24"/>
        </w:rPr>
        <w:t>,</w:t>
      </w:r>
      <w:r>
        <w:rPr>
          <w:rFonts w:ascii="Arial" w:hAnsi="Arial" w:cs="Arial"/>
          <w:color w:val="1F497D"/>
          <w:sz w:val="24"/>
          <w:szCs w:val="24"/>
        </w:rPr>
        <w:t xml:space="preserve"> provocada por la presentación de solicitudes de aquellos que se quisieron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 beneficiar de las condiciones </w:t>
      </w:r>
      <w:r>
        <w:rPr>
          <w:rFonts w:ascii="Arial" w:hAnsi="Arial" w:cs="Arial"/>
          <w:color w:val="1F497D"/>
          <w:sz w:val="24"/>
          <w:szCs w:val="24"/>
        </w:rPr>
        <w:t>recogidas en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 el antiguo texto </w:t>
      </w:r>
      <w:r>
        <w:rPr>
          <w:rFonts w:ascii="Arial" w:hAnsi="Arial" w:cs="Arial"/>
          <w:color w:val="1F497D"/>
          <w:sz w:val="24"/>
          <w:szCs w:val="24"/>
        </w:rPr>
        <w:t xml:space="preserve">normativo, es decir con un procedimiento de concesión menos riguroso. Con la antigua Ley vigente, </w:t>
      </w:r>
      <w:r w:rsidRPr="0034114E">
        <w:rPr>
          <w:rFonts w:ascii="Arial" w:hAnsi="Arial" w:cs="Arial"/>
          <w:b/>
          <w:color w:val="1F497D"/>
          <w:sz w:val="24"/>
          <w:szCs w:val="24"/>
        </w:rPr>
        <w:t>todas las patentes se concedían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 aunque no cumplieran con la novedad y actividad inventivas exigidas en </w:t>
      </w:r>
      <w:smartTag w:uri="urn:schemas-microsoft-com:office:smarttags" w:element="PersonName">
        <w:smartTagPr>
          <w:attr w:name="ProductID" w:val="la OEPM."/>
        </w:smartTagPr>
        <w:r w:rsidRPr="004C78AA">
          <w:rPr>
            <w:rFonts w:ascii="Arial" w:hAnsi="Arial" w:cs="Arial"/>
            <w:color w:val="1F497D"/>
            <w:sz w:val="24"/>
            <w:szCs w:val="24"/>
          </w:rPr>
          <w:t>la Ley</w:t>
        </w:r>
      </w:smartTag>
      <w:r>
        <w:rPr>
          <w:rFonts w:ascii="Arial" w:hAnsi="Arial" w:cs="Arial"/>
          <w:color w:val="1F497D"/>
          <w:sz w:val="24"/>
          <w:szCs w:val="24"/>
        </w:rPr>
        <w:t xml:space="preserve"> si así lo deseaba su solicitante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. </w:t>
      </w:r>
      <w:r>
        <w:rPr>
          <w:rFonts w:ascii="Arial" w:hAnsi="Arial" w:cs="Arial"/>
          <w:color w:val="1F497D"/>
          <w:sz w:val="24"/>
          <w:szCs w:val="24"/>
        </w:rPr>
        <w:t xml:space="preserve">Cabe destacar que 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el </w:t>
      </w:r>
      <w:r w:rsidRPr="00BE5559">
        <w:rPr>
          <w:rFonts w:ascii="Arial" w:hAnsi="Arial" w:cs="Arial"/>
          <w:b/>
          <w:color w:val="1F497D"/>
          <w:sz w:val="24"/>
          <w:szCs w:val="24"/>
        </w:rPr>
        <w:t xml:space="preserve">mes de marzo de </w:t>
      </w:r>
      <w:smartTag w:uri="urn:schemas-microsoft-com:office:smarttags" w:element="PersonName">
        <w:smartTagPr>
          <w:attr w:name="ProductID" w:val="la OEPM."/>
        </w:smartTagPr>
        <w:r w:rsidRPr="00BE5559">
          <w:rPr>
            <w:rFonts w:ascii="Arial" w:hAnsi="Arial" w:cs="Arial"/>
            <w:b/>
            <w:color w:val="1F497D"/>
            <w:sz w:val="24"/>
            <w:szCs w:val="24"/>
          </w:rPr>
          <w:t>2017</w:t>
        </w:r>
        <w:r w:rsidRPr="004C78AA">
          <w:rPr>
            <w:rFonts w:ascii="Arial" w:hAnsi="Arial" w:cs="Arial"/>
            <w:color w:val="1F497D"/>
            <w:sz w:val="24"/>
            <w:szCs w:val="24"/>
          </w:rPr>
          <w:t xml:space="preserve"> </w:t>
        </w:r>
        <w:r>
          <w:rPr>
            <w:rFonts w:ascii="Arial" w:hAnsi="Arial" w:cs="Arial"/>
            <w:color w:val="1F497D"/>
            <w:sz w:val="24"/>
            <w:szCs w:val="24"/>
          </w:rPr>
          <w:t>ha</w:t>
        </w:r>
      </w:smartTag>
      <w:r>
        <w:rPr>
          <w:rFonts w:ascii="Arial" w:hAnsi="Arial" w:cs="Arial"/>
          <w:color w:val="1F497D"/>
          <w:sz w:val="24"/>
          <w:szCs w:val="24"/>
        </w:rPr>
        <w:t xml:space="preserve"> sido 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el mes en el que más solicitudes de patentes se han presentado </w:t>
      </w:r>
      <w:r>
        <w:rPr>
          <w:rFonts w:ascii="Arial" w:hAnsi="Arial" w:cs="Arial"/>
          <w:color w:val="1F497D"/>
          <w:sz w:val="24"/>
          <w:szCs w:val="24"/>
        </w:rPr>
        <w:t xml:space="preserve">ante </w:t>
      </w:r>
      <w:smartTag w:uri="urn:schemas-microsoft-com:office:smarttags" w:element="PersonName">
        <w:smartTagPr>
          <w:attr w:name="ProductID" w:val="la OEPM."/>
        </w:smartTagPr>
        <w:r>
          <w:rPr>
            <w:rFonts w:ascii="Arial" w:hAnsi="Arial" w:cs="Arial"/>
            <w:color w:val="1F497D"/>
            <w:sz w:val="24"/>
            <w:szCs w:val="24"/>
          </w:rPr>
          <w:t>la OEPM</w:t>
        </w:r>
      </w:smartTag>
      <w:r>
        <w:rPr>
          <w:rFonts w:ascii="Arial" w:hAnsi="Arial" w:cs="Arial"/>
          <w:color w:val="1F497D"/>
          <w:sz w:val="24"/>
          <w:szCs w:val="24"/>
        </w:rPr>
        <w:t xml:space="preserve"> 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desde que </w:t>
      </w:r>
      <w:r>
        <w:rPr>
          <w:rFonts w:ascii="Arial" w:hAnsi="Arial" w:cs="Arial"/>
          <w:color w:val="1F497D"/>
          <w:sz w:val="24"/>
          <w:szCs w:val="24"/>
        </w:rPr>
        <w:t>se tiene</w:t>
      </w:r>
      <w:r w:rsidRPr="004C78AA">
        <w:rPr>
          <w:rFonts w:ascii="Arial" w:hAnsi="Arial" w:cs="Arial"/>
          <w:color w:val="1F497D"/>
          <w:sz w:val="24"/>
          <w:szCs w:val="24"/>
        </w:rPr>
        <w:t xml:space="preserve"> constancia (688 solicitudes). </w:t>
      </w:r>
    </w:p>
    <w:p w:rsidR="00241B82" w:rsidRDefault="00241B82" w:rsidP="00410AA2">
      <w:pPr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  <w:lang w:eastAsia="es-ES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2 Imagen" o:spid="_x0000_i1025" type="#_x0000_t75" style="width:425.25pt;height:231pt;visibility:visible">
            <v:imagedata r:id="rId4" o:title=""/>
          </v:shape>
        </w:pict>
      </w:r>
    </w:p>
    <w:p w:rsidR="00241B82" w:rsidRDefault="00241B82" w:rsidP="00410AA2">
      <w:pPr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  <w:lang w:eastAsia="es-ES"/>
        </w:rPr>
      </w:pP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No obstante, si se tienen en cuenta datos totales de solicitudes de patentes (tanto las relativas a la nueva Ley como a las de </w:t>
      </w:r>
      <w:smartTag w:uri="urn:schemas-microsoft-com:office:smarttags" w:element="PersonName">
        <w:smartTagPr>
          <w:attr w:name="ProductID" w:val="la OEPM."/>
        </w:smartTagPr>
        <w:r>
          <w:rPr>
            <w:rFonts w:ascii="Arial" w:hAnsi="Arial" w:cs="Arial"/>
            <w:color w:val="1F497D"/>
            <w:sz w:val="24"/>
            <w:szCs w:val="24"/>
            <w:lang w:eastAsia="es-ES"/>
          </w:rPr>
          <w:t>la Ley</w:t>
        </w:r>
      </w:smartTag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anterior), </w:t>
      </w:r>
      <w:smartTag w:uri="urn:schemas-microsoft-com:office:smarttags" w:element="PersonName">
        <w:smartTagPr>
          <w:attr w:name="ProductID" w:val="la OEPM."/>
        </w:smartTagPr>
        <w:r>
          <w:rPr>
            <w:rFonts w:ascii="Arial" w:hAnsi="Arial" w:cs="Arial"/>
            <w:color w:val="1F497D"/>
            <w:sz w:val="24"/>
            <w:szCs w:val="24"/>
            <w:lang w:eastAsia="es-ES"/>
          </w:rPr>
          <w:t>la OEPM</w:t>
        </w:r>
      </w:smartTag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ha recibido en 2017 </w:t>
      </w:r>
      <w:r>
        <w:rPr>
          <w:rFonts w:ascii="Arial" w:hAnsi="Arial" w:cs="Arial"/>
          <w:b/>
          <w:color w:val="1F497D"/>
          <w:sz w:val="24"/>
          <w:szCs w:val="24"/>
          <w:lang w:eastAsia="es-ES"/>
        </w:rPr>
        <w:t>2.286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solicitudes, frente a </w:t>
      </w:r>
      <w:r>
        <w:rPr>
          <w:rFonts w:ascii="Arial" w:hAnsi="Arial" w:cs="Arial"/>
          <w:b/>
          <w:color w:val="1F497D"/>
          <w:sz w:val="24"/>
          <w:szCs w:val="24"/>
          <w:lang w:eastAsia="es-ES"/>
        </w:rPr>
        <w:t>2.849</w:t>
      </w:r>
      <w:bookmarkStart w:id="0" w:name="_GoBack"/>
      <w:bookmarkEnd w:id="0"/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que recibió en 2016. </w:t>
      </w:r>
    </w:p>
    <w:p w:rsidR="00241B82" w:rsidRPr="000F5254" w:rsidRDefault="00241B82" w:rsidP="00B23927">
      <w:pPr>
        <w:spacing w:before="100" w:beforeAutospacing="1" w:after="100" w:afterAutospacing="1"/>
        <w:jc w:val="both"/>
        <w:rPr>
          <w:rFonts w:ascii="Arial" w:hAnsi="Arial" w:cs="Arial"/>
          <w:i/>
          <w:color w:val="FF0000"/>
          <w:sz w:val="24"/>
          <w:szCs w:val="24"/>
          <w:lang w:eastAsia="es-ES"/>
        </w:rPr>
      </w:pPr>
      <w:r>
        <w:rPr>
          <w:rFonts w:ascii="Arial" w:hAnsi="Arial" w:cs="Arial"/>
          <w:color w:val="1F497D"/>
          <w:sz w:val="24"/>
          <w:szCs w:val="24"/>
        </w:rPr>
        <w:t xml:space="preserve">Analizando la figura del </w:t>
      </w:r>
      <w:r w:rsidRPr="00F001BC">
        <w:rPr>
          <w:rFonts w:ascii="Arial" w:hAnsi="Arial" w:cs="Arial"/>
          <w:b/>
          <w:color w:val="1F497D"/>
          <w:sz w:val="24"/>
          <w:szCs w:val="24"/>
        </w:rPr>
        <w:t>Modelo de Utilidad</w:t>
      </w:r>
      <w:r>
        <w:rPr>
          <w:rFonts w:ascii="Arial" w:hAnsi="Arial" w:cs="Arial"/>
          <w:color w:val="1F497D"/>
          <w:sz w:val="24"/>
          <w:szCs w:val="24"/>
        </w:rPr>
        <w:t xml:space="preserve">, la nueva Ley 24/2015 contempla </w:t>
      </w:r>
      <w:r w:rsidRPr="0034114E">
        <w:rPr>
          <w:rFonts w:ascii="Arial" w:hAnsi="Arial" w:cs="Arial"/>
          <w:b/>
          <w:color w:val="1F497D"/>
          <w:sz w:val="24"/>
          <w:szCs w:val="24"/>
        </w:rPr>
        <w:t>menores cambios en su procedimiento de tramitación y concesión</w:t>
      </w:r>
      <w:r>
        <w:rPr>
          <w:rFonts w:ascii="Arial" w:hAnsi="Arial" w:cs="Arial"/>
          <w:color w:val="1F497D"/>
          <w:sz w:val="24"/>
          <w:szCs w:val="24"/>
        </w:rPr>
        <w:t xml:space="preserve"> aunque también se ha visto aumentado </w:t>
      </w:r>
      <w:r w:rsidRPr="00B23927">
        <w:rPr>
          <w:rFonts w:ascii="Arial" w:hAnsi="Arial" w:cs="Arial"/>
          <w:b/>
          <w:color w:val="1F497D"/>
          <w:sz w:val="24"/>
          <w:szCs w:val="24"/>
        </w:rPr>
        <w:t>en un 22,7%</w:t>
      </w:r>
      <w:r>
        <w:rPr>
          <w:rFonts w:ascii="Arial" w:hAnsi="Arial" w:cs="Arial"/>
          <w:color w:val="1F497D"/>
          <w:sz w:val="24"/>
          <w:szCs w:val="24"/>
        </w:rPr>
        <w:t xml:space="preserve"> la presentación de solicitudes de este tipo de modalidad los primeros tres meses de 2017 (752) respecto a las presentadas en los tres primeros meses del año anterior (613). Teniendo en cuenta datos totales de solicitudes de modelos de utilidad 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(tanto las relativas a la nueva Ley como a las de </w:t>
      </w:r>
      <w:smartTag w:uri="urn:schemas-microsoft-com:office:smarttags" w:element="PersonName">
        <w:smartTagPr>
          <w:attr w:name="ProductID" w:val="la OEPM."/>
        </w:smartTagPr>
        <w:r>
          <w:rPr>
            <w:rFonts w:ascii="Arial" w:hAnsi="Arial" w:cs="Arial"/>
            <w:color w:val="1F497D"/>
            <w:sz w:val="24"/>
            <w:szCs w:val="24"/>
            <w:lang w:eastAsia="es-ES"/>
          </w:rPr>
          <w:t>la Ley</w:t>
        </w:r>
      </w:smartTag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anterior), </w:t>
      </w:r>
      <w:smartTag w:uri="urn:schemas-microsoft-com:office:smarttags" w:element="PersonName">
        <w:smartTagPr>
          <w:attr w:name="ProductID" w:val="la OEPM."/>
        </w:smartTagPr>
        <w:r>
          <w:rPr>
            <w:rFonts w:ascii="Arial" w:hAnsi="Arial" w:cs="Arial"/>
            <w:color w:val="1F497D"/>
            <w:sz w:val="24"/>
            <w:szCs w:val="24"/>
            <w:lang w:eastAsia="es-ES"/>
          </w:rPr>
          <w:t>la OEPM</w:t>
        </w:r>
      </w:smartTag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ha recibido en 2017 </w:t>
      </w:r>
      <w:r>
        <w:rPr>
          <w:rFonts w:ascii="Arial" w:hAnsi="Arial" w:cs="Arial"/>
          <w:b/>
          <w:color w:val="1F497D"/>
          <w:sz w:val="24"/>
          <w:szCs w:val="24"/>
          <w:lang w:eastAsia="es-ES"/>
        </w:rPr>
        <w:t>2.438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solicitudes, frente a las </w:t>
      </w:r>
      <w:r w:rsidRPr="00B23927">
        <w:rPr>
          <w:rFonts w:ascii="Arial" w:hAnsi="Arial" w:cs="Arial"/>
          <w:b/>
          <w:color w:val="1F497D"/>
          <w:sz w:val="24"/>
          <w:szCs w:val="24"/>
          <w:lang w:eastAsia="es-ES"/>
        </w:rPr>
        <w:t>2.427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que recibió en 2016 por lo que la entrada se mantiene constante.</w:t>
      </w:r>
      <w:r w:rsidRPr="000703F1">
        <w:rPr>
          <w:noProof/>
          <w:lang w:eastAsia="es-ES"/>
        </w:rPr>
        <w:t xml:space="preserve"> </w:t>
      </w:r>
    </w:p>
    <w:p w:rsidR="00241B82" w:rsidRPr="004C78AA" w:rsidRDefault="00241B82" w:rsidP="00F001BC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241B82" w:rsidRDefault="00241B82" w:rsidP="00C23CD7">
      <w:pPr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  <w:lang w:eastAsia="es-ES"/>
        </w:rPr>
      </w:pPr>
    </w:p>
    <w:p w:rsidR="00241B82" w:rsidRDefault="00241B82" w:rsidP="00C23CD7">
      <w:pPr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  <w:lang w:eastAsia="es-ES"/>
        </w:rPr>
      </w:pPr>
      <w:r>
        <w:rPr>
          <w:noProof/>
          <w:lang w:eastAsia="es-ES"/>
        </w:rPr>
        <w:pict>
          <v:rect id="_x0000_s1028" style="position:absolute;left:0;text-align:left;margin-left:-9pt;margin-top:82.6pt;width:441pt;height:63pt;z-index:251659264" filled="f" strokecolor="red" strokeweight="2.25pt"/>
        </w:pict>
      </w:r>
      <w:r>
        <w:rPr>
          <w:noProof/>
          <w:lang w:eastAsia="es-ES"/>
        </w:rPr>
        <w:pict>
          <v:shape id="9 Imagen" o:spid="_x0000_s1029" type="#_x0000_t75" style="position:absolute;left:0;text-align:left;margin-left:-16.5pt;margin-top:-46.7pt;width:424.4pt;height:233.7pt;z-index:251656192;visibility:visible">
            <v:imagedata r:id="rId5" o:title=""/>
            <w10:wrap type="square"/>
          </v:shape>
        </w:pic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En la modalidad de Patentes, destacan las </w:t>
      </w:r>
      <w:r w:rsidRPr="00195990">
        <w:rPr>
          <w:rFonts w:ascii="Arial" w:hAnsi="Arial" w:cs="Arial"/>
          <w:b/>
          <w:color w:val="1F497D"/>
          <w:sz w:val="24"/>
          <w:szCs w:val="24"/>
          <w:lang w:eastAsia="es-ES"/>
        </w:rPr>
        <w:t>C</w:t>
      </w:r>
      <w:r>
        <w:rPr>
          <w:rFonts w:ascii="Arial" w:hAnsi="Arial" w:cs="Arial"/>
          <w:b/>
          <w:color w:val="1F497D"/>
          <w:sz w:val="24"/>
          <w:szCs w:val="24"/>
          <w:lang w:eastAsia="es-ES"/>
        </w:rPr>
        <w:t>CAA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de </w:t>
      </w:r>
      <w:smartTag w:uri="urn:schemas-microsoft-com:office:smarttags" w:element="PersonName">
        <w:smartTagPr>
          <w:attr w:name="ProductID" w:val="la OEPM."/>
        </w:smartTagPr>
        <w:r w:rsidRPr="005B34D3">
          <w:rPr>
            <w:rFonts w:ascii="Arial" w:hAnsi="Arial" w:cs="Arial"/>
            <w:b/>
            <w:color w:val="1F497D"/>
            <w:sz w:val="24"/>
            <w:szCs w:val="24"/>
            <w:lang w:eastAsia="es-ES"/>
          </w:rPr>
          <w:t>La Rioja</w:t>
        </w:r>
      </w:smartTag>
      <w:r w:rsidRPr="005B34D3">
        <w:rPr>
          <w:rFonts w:ascii="Arial" w:hAnsi="Arial" w:cs="Arial"/>
          <w:b/>
          <w:color w:val="1F497D"/>
          <w:sz w:val="24"/>
          <w:szCs w:val="24"/>
          <w:lang w:eastAsia="es-ES"/>
        </w:rPr>
        <w:t>, Islas Baleares, Navarra, Aragón y Castilla y León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, con aumentos en solicitudes del 41,2%, 22,2%, 18,4%, 4,8% y 1,1% respectivamente y en la de Modelos de Utilidad </w:t>
      </w:r>
      <w:smartTag w:uri="urn:schemas-microsoft-com:office:smarttags" w:element="PersonName">
        <w:smartTagPr>
          <w:attr w:name="ProductID" w:val="la OEPM."/>
        </w:smartTagPr>
        <w:r>
          <w:rPr>
            <w:rFonts w:ascii="Arial" w:hAnsi="Arial" w:cs="Arial"/>
            <w:color w:val="1F497D"/>
            <w:sz w:val="24"/>
            <w:szCs w:val="24"/>
            <w:lang w:eastAsia="es-ES"/>
          </w:rPr>
          <w:t>la CA</w:t>
        </w:r>
      </w:smartTag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de</w:t>
      </w:r>
      <w:r w:rsidRPr="00B157D9">
        <w:rPr>
          <w:rFonts w:ascii="Arial" w:hAnsi="Arial" w:cs="Arial"/>
          <w:color w:val="FF0000"/>
          <w:sz w:val="24"/>
          <w:szCs w:val="24"/>
          <w:lang w:eastAsia="es-ES"/>
        </w:rPr>
        <w:t xml:space="preserve"> </w:t>
      </w:r>
      <w:r w:rsidRPr="00502519">
        <w:rPr>
          <w:rFonts w:ascii="Arial" w:hAnsi="Arial" w:cs="Arial"/>
          <w:b/>
          <w:color w:val="1F497D"/>
          <w:sz w:val="24"/>
          <w:szCs w:val="24"/>
          <w:lang w:eastAsia="es-ES"/>
        </w:rPr>
        <w:t>Andalucía, País Vasco y Castilla y León</w:t>
      </w:r>
      <w:r w:rsidRPr="00502519">
        <w:rPr>
          <w:rFonts w:ascii="Arial" w:hAnsi="Arial" w:cs="Arial"/>
          <w:color w:val="1F497D"/>
          <w:sz w:val="24"/>
          <w:szCs w:val="24"/>
          <w:lang w:eastAsia="es-ES"/>
        </w:rPr>
        <w:t>, con aumentos del 21,93%, 18,18% y 17,28</w:t>
      </w:r>
      <w:r>
        <w:rPr>
          <w:rFonts w:ascii="Arial" w:hAnsi="Arial" w:cs="Arial"/>
          <w:color w:val="FF0000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respectivamente. </w:t>
      </w:r>
    </w:p>
    <w:p w:rsidR="00241B82" w:rsidRDefault="00241B82" w:rsidP="00410AA2">
      <w:pPr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  <w:lang w:eastAsia="es-ES"/>
        </w:rPr>
      </w:pP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En cuanto a la </w:t>
      </w:r>
      <w:r w:rsidRPr="00334DAE">
        <w:rPr>
          <w:rFonts w:ascii="Arial" w:hAnsi="Arial" w:cs="Arial"/>
          <w:b/>
          <w:color w:val="1F497D"/>
          <w:sz w:val="24"/>
          <w:szCs w:val="24"/>
          <w:lang w:eastAsia="es-ES"/>
        </w:rPr>
        <w:t>actividad inventiva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en patentes (ratio de solicitudes de patentes por cada millón de habitantes) destacan las CCAA de </w:t>
      </w:r>
      <w:r w:rsidRPr="005B34D3">
        <w:rPr>
          <w:rFonts w:ascii="Arial" w:hAnsi="Arial" w:cs="Arial"/>
          <w:b/>
          <w:color w:val="1F497D"/>
          <w:sz w:val="24"/>
          <w:szCs w:val="24"/>
          <w:lang w:eastAsia="es-ES"/>
        </w:rPr>
        <w:t>Aragón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, </w:t>
      </w:r>
      <w:r w:rsidRPr="005B34D3">
        <w:rPr>
          <w:rFonts w:ascii="Arial" w:hAnsi="Arial" w:cs="Arial"/>
          <w:b/>
          <w:color w:val="1F497D"/>
          <w:sz w:val="24"/>
          <w:szCs w:val="24"/>
          <w:lang w:eastAsia="es-ES"/>
        </w:rPr>
        <w:t>Navarra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, y </w:t>
      </w:r>
      <w:smartTag w:uri="urn:schemas-microsoft-com:office:smarttags" w:element="PersonName">
        <w:smartTagPr>
          <w:attr w:name="ProductID" w:val="la OEPM."/>
        </w:smartTagPr>
        <w:r>
          <w:rPr>
            <w:rFonts w:ascii="Arial" w:hAnsi="Arial" w:cs="Arial"/>
            <w:b/>
            <w:color w:val="1F497D"/>
            <w:sz w:val="24"/>
            <w:szCs w:val="24"/>
            <w:lang w:eastAsia="es-ES"/>
          </w:rPr>
          <w:t>La Rioja</w:t>
        </w:r>
      </w:smartTag>
      <w:r>
        <w:rPr>
          <w:rFonts w:ascii="Arial" w:hAnsi="Arial" w:cs="Arial"/>
          <w:b/>
          <w:color w:val="1F497D"/>
          <w:sz w:val="24"/>
          <w:szCs w:val="24"/>
          <w:lang w:eastAsia="es-ES"/>
        </w:rPr>
        <w:t xml:space="preserve"> </w:t>
      </w:r>
      <w:r w:rsidRPr="00334DAE">
        <w:rPr>
          <w:rFonts w:ascii="Arial" w:hAnsi="Arial" w:cs="Arial"/>
          <w:color w:val="1F497D"/>
          <w:sz w:val="24"/>
          <w:szCs w:val="24"/>
          <w:lang w:eastAsia="es-ES"/>
        </w:rPr>
        <w:t xml:space="preserve">y en cuanto a 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la </w:t>
      </w:r>
      <w:r w:rsidRPr="00334DAE">
        <w:rPr>
          <w:rFonts w:ascii="Arial" w:hAnsi="Arial" w:cs="Arial"/>
          <w:color w:val="1F497D"/>
          <w:sz w:val="24"/>
          <w:szCs w:val="24"/>
          <w:lang w:eastAsia="es-ES"/>
        </w:rPr>
        <w:t>actividad inventiva de modelos de utilidad</w:t>
      </w:r>
      <w:r>
        <w:rPr>
          <w:rFonts w:ascii="Arial" w:hAnsi="Arial" w:cs="Arial"/>
          <w:b/>
          <w:color w:val="1F497D"/>
          <w:sz w:val="24"/>
          <w:szCs w:val="24"/>
          <w:lang w:eastAsia="es-ES"/>
        </w:rPr>
        <w:t xml:space="preserve">, </w:t>
      </w:r>
      <w:smartTag w:uri="urn:schemas-microsoft-com:office:smarttags" w:element="PersonName">
        <w:smartTagPr>
          <w:attr w:name="ProductID" w:val="la OEPM."/>
        </w:smartTagPr>
        <w:r>
          <w:rPr>
            <w:rFonts w:ascii="Arial" w:hAnsi="Arial" w:cs="Arial"/>
            <w:color w:val="1F497D"/>
            <w:sz w:val="24"/>
            <w:szCs w:val="24"/>
            <w:lang w:eastAsia="es-ES"/>
          </w:rPr>
          <w:t>la</w:t>
        </w:r>
        <w:r>
          <w:rPr>
            <w:rFonts w:ascii="Arial" w:hAnsi="Arial" w:cs="Arial"/>
            <w:b/>
            <w:color w:val="1F497D"/>
            <w:sz w:val="24"/>
            <w:szCs w:val="24"/>
            <w:lang w:eastAsia="es-ES"/>
          </w:rPr>
          <w:t xml:space="preserve"> Comunidad Valenciana</w:t>
        </w:r>
      </w:smartTag>
      <w:r>
        <w:rPr>
          <w:rFonts w:ascii="Arial" w:hAnsi="Arial" w:cs="Arial"/>
          <w:b/>
          <w:color w:val="1F497D"/>
          <w:sz w:val="24"/>
          <w:szCs w:val="24"/>
          <w:lang w:eastAsia="es-ES"/>
        </w:rPr>
        <w:t xml:space="preserve">, </w:t>
      </w:r>
      <w:smartTag w:uri="urn:schemas-microsoft-com:office:smarttags" w:element="PersonName">
        <w:smartTagPr>
          <w:attr w:name="ProductID" w:val="la OEPM."/>
        </w:smartTagPr>
        <w:r>
          <w:rPr>
            <w:rFonts w:ascii="Arial" w:hAnsi="Arial" w:cs="Arial"/>
            <w:b/>
            <w:color w:val="1F497D"/>
            <w:sz w:val="24"/>
            <w:szCs w:val="24"/>
            <w:lang w:eastAsia="es-ES"/>
          </w:rPr>
          <w:t>La Rioja</w:t>
        </w:r>
      </w:smartTag>
      <w:r>
        <w:rPr>
          <w:rFonts w:ascii="Arial" w:hAnsi="Arial" w:cs="Arial"/>
          <w:b/>
          <w:color w:val="1F497D"/>
          <w:sz w:val="24"/>
          <w:szCs w:val="24"/>
          <w:lang w:eastAsia="es-ES"/>
        </w:rPr>
        <w:t>, Madrid, Aragón, Cataluña y Navarra.</w:t>
      </w:r>
    </w:p>
    <w:p w:rsidR="00241B82" w:rsidRDefault="00241B82" w:rsidP="00410AA2">
      <w:pPr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  <w:lang w:eastAsia="es-ES"/>
        </w:rPr>
      </w:pP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Para más información (solicitudes por meses, por provincias o por CCAA, así como a otro tipo de  solicitudes) </w:t>
      </w:r>
      <w:hyperlink r:id="rId6" w:history="1">
        <w:r>
          <w:rPr>
            <w:rStyle w:val="Hyperlink"/>
            <w:rFonts w:ascii="Arial" w:hAnsi="Arial" w:cs="Arial"/>
            <w:color w:val="1F497D"/>
            <w:sz w:val="24"/>
            <w:szCs w:val="24"/>
            <w:lang w:eastAsia="es-ES"/>
          </w:rPr>
          <w:t>pinche aquí</w:t>
        </w:r>
      </w:hyperlink>
      <w:r>
        <w:rPr>
          <w:rFonts w:ascii="Arial" w:hAnsi="Arial" w:cs="Arial"/>
          <w:color w:val="1F497D"/>
          <w:sz w:val="24"/>
          <w:szCs w:val="24"/>
          <w:lang w:eastAsia="es-ES"/>
        </w:rPr>
        <w:t>.</w:t>
      </w:r>
    </w:p>
    <w:p w:rsidR="00241B82" w:rsidRDefault="00241B82" w:rsidP="00410AA2">
      <w:pPr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  <w:lang w:eastAsia="es-ES"/>
        </w:rPr>
      </w:pPr>
      <w:r w:rsidRPr="00936CEF">
        <w:rPr>
          <w:rFonts w:ascii="Arial" w:hAnsi="Arial" w:cs="Arial"/>
          <w:b/>
          <w:color w:val="1F497D"/>
          <w:sz w:val="24"/>
          <w:szCs w:val="24"/>
          <w:lang w:eastAsia="es-ES"/>
        </w:rPr>
        <w:t>Nota</w:t>
      </w:r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: Datos proporcionados por el Servicio de Estadísticas y Estudios de </w:t>
      </w:r>
      <w:smartTag w:uri="urn:schemas-microsoft-com:office:smarttags" w:element="PersonName">
        <w:smartTagPr>
          <w:attr w:name="ProductID" w:val="la OEPM."/>
        </w:smartTagPr>
        <w:r>
          <w:rPr>
            <w:rFonts w:ascii="Arial" w:hAnsi="Arial" w:cs="Arial"/>
            <w:color w:val="1F497D"/>
            <w:sz w:val="24"/>
            <w:szCs w:val="24"/>
            <w:lang w:eastAsia="es-ES"/>
          </w:rPr>
          <w:t>la OEPM.</w:t>
        </w:r>
      </w:smartTag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</w:t>
      </w:r>
      <w:hyperlink r:id="rId7" w:history="1">
        <w:r w:rsidRPr="00CA1BA2">
          <w:rPr>
            <w:rStyle w:val="Hyperlink"/>
            <w:rFonts w:ascii="Arial" w:hAnsi="Arial" w:cs="Arial"/>
            <w:sz w:val="24"/>
            <w:szCs w:val="24"/>
            <w:lang w:eastAsia="es-ES"/>
          </w:rPr>
          <w:t>http://www.oepm.es/es/sobre_oepm/actividades_estadisticas/</w:t>
        </w:r>
      </w:hyperlink>
      <w:r>
        <w:rPr>
          <w:rFonts w:ascii="Arial" w:hAnsi="Arial" w:cs="Arial"/>
          <w:color w:val="1F497D"/>
          <w:sz w:val="24"/>
          <w:szCs w:val="24"/>
          <w:lang w:eastAsia="es-ES"/>
        </w:rPr>
        <w:t xml:space="preserve"> </w:t>
      </w:r>
    </w:p>
    <w:sectPr w:rsidR="00241B82" w:rsidSect="000D2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AA2"/>
    <w:rsid w:val="000332E2"/>
    <w:rsid w:val="000703F1"/>
    <w:rsid w:val="00091C5F"/>
    <w:rsid w:val="000A0D79"/>
    <w:rsid w:val="000D2FF3"/>
    <w:rsid w:val="000F4A3C"/>
    <w:rsid w:val="000F5254"/>
    <w:rsid w:val="00195990"/>
    <w:rsid w:val="001F3D5A"/>
    <w:rsid w:val="00241B82"/>
    <w:rsid w:val="00330486"/>
    <w:rsid w:val="00334DAE"/>
    <w:rsid w:val="0034114E"/>
    <w:rsid w:val="00410AA2"/>
    <w:rsid w:val="0041408A"/>
    <w:rsid w:val="004C2DB4"/>
    <w:rsid w:val="004C78AA"/>
    <w:rsid w:val="004F63EB"/>
    <w:rsid w:val="0050050E"/>
    <w:rsid w:val="00502519"/>
    <w:rsid w:val="005B34D3"/>
    <w:rsid w:val="005C5A3E"/>
    <w:rsid w:val="005E7FA3"/>
    <w:rsid w:val="00640FEB"/>
    <w:rsid w:val="00672EF8"/>
    <w:rsid w:val="007A3887"/>
    <w:rsid w:val="00857259"/>
    <w:rsid w:val="00936CEF"/>
    <w:rsid w:val="00952EB9"/>
    <w:rsid w:val="009C4DC1"/>
    <w:rsid w:val="009F4B65"/>
    <w:rsid w:val="00A443AB"/>
    <w:rsid w:val="00B157D9"/>
    <w:rsid w:val="00B1642C"/>
    <w:rsid w:val="00B23927"/>
    <w:rsid w:val="00B31905"/>
    <w:rsid w:val="00B6117E"/>
    <w:rsid w:val="00BC5584"/>
    <w:rsid w:val="00BE5559"/>
    <w:rsid w:val="00C0161D"/>
    <w:rsid w:val="00C23CD7"/>
    <w:rsid w:val="00C753D9"/>
    <w:rsid w:val="00CA1BA2"/>
    <w:rsid w:val="00D769A6"/>
    <w:rsid w:val="00D83764"/>
    <w:rsid w:val="00DE6AEB"/>
    <w:rsid w:val="00DF7834"/>
    <w:rsid w:val="00E60212"/>
    <w:rsid w:val="00E93C0E"/>
    <w:rsid w:val="00F001BC"/>
    <w:rsid w:val="00F05839"/>
    <w:rsid w:val="00F75798"/>
    <w:rsid w:val="00F94340"/>
    <w:rsid w:val="00FB027A"/>
    <w:rsid w:val="00FF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A2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0AA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7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611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1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117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1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11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epm.es/es/sobre_oepm/actividades_estadistic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epm.es/export/sites/oepm/comun/documentos_relacionados/Memorias_de_Actividades_y_Estadisticas/estadisticas/Fichero_ESTADISTICAS_2017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947</Words>
  <Characters>5210</Characters>
  <Application>Microsoft Office Outlook</Application>
  <DocSecurity>0</DocSecurity>
  <Lines>0</Lines>
  <Paragraphs>0</Paragraphs>
  <ScaleCrop>false</ScaleCrop>
  <Company>Oficina Española de Patentes y Marcas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OEPM cierra el año aumentando el número de solicitudes de Signos Distintivos en un 3% y de Diseños Industriales en un 23%</dc:title>
  <dc:subject/>
  <dc:creator>CSU</dc:creator>
  <cp:keywords/>
  <dc:description/>
  <cp:lastModifiedBy>alcon</cp:lastModifiedBy>
  <cp:revision>3</cp:revision>
  <dcterms:created xsi:type="dcterms:W3CDTF">2018-02-14T10:22:00Z</dcterms:created>
  <dcterms:modified xsi:type="dcterms:W3CDTF">2018-02-14T10:26:00Z</dcterms:modified>
</cp:coreProperties>
</file>